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48" w:rsidRPr="004B2BDC" w:rsidRDefault="00F57248" w:rsidP="00F5724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3cf751e5-c5f1-41fa-8e93-372cf276a7c4"/>
      <w:bookmarkStart w:id="1" w:name="block-62221151"/>
      <w:bookmarkEnd w:id="0"/>
      <w:r w:rsidRPr="004B2B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МИНИСТЕРСТВО ПРОСВЕЩЕНИЯ РОССИЙСКОЙ ФЕДЕРАЦИИ</w:t>
      </w:r>
    </w:p>
    <w:p w:rsidR="00F57248" w:rsidRDefault="00F57248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4c45f36a-919d-4a85-8dd2-5ba4bf02384e"/>
      <w:bookmarkEnd w:id="2"/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Администрация Усть-Донецкого района</w:t>
      </w: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НКСОШ</w:t>
      </w: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B2EAE" w:rsidRPr="00F57248" w:rsidTr="0037550F">
        <w:tc>
          <w:tcPr>
            <w:tcW w:w="3114" w:type="dxa"/>
          </w:tcPr>
          <w:p w:rsidR="00BB2EAE" w:rsidRPr="00D91865" w:rsidRDefault="00BB2EAE" w:rsidP="0037550F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МО начальных классов МБОУ НКСОШ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Золотарева С.Н.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«29»08.2025 г.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2EAE" w:rsidRPr="00D91865" w:rsidRDefault="00BB2EAE" w:rsidP="0037550F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Сухорукова Е.В.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 от «29»08.2025 г.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2EAE" w:rsidRPr="00D91865" w:rsidRDefault="00BB2EAE" w:rsidP="0037550F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Сухорукова Е.В.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166 от «29»08.2025 г.</w:t>
            </w:r>
          </w:p>
          <w:p w:rsidR="00BB2EAE" w:rsidRPr="00D91865" w:rsidRDefault="00BB2EAE" w:rsidP="00375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7874302)</w:t>
      </w:r>
    </w:p>
    <w:p w:rsidR="00BB2EAE" w:rsidRPr="00D91865" w:rsidRDefault="00BB2EAE" w:rsidP="00BB2E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BB2EAE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BB2EAE" w:rsidRPr="00D91865" w:rsidRDefault="00BB2EAE" w:rsidP="00BB2E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2EAE" w:rsidRPr="00D91865" w:rsidRDefault="00BB2EAE" w:rsidP="00BB2E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BB2EAE" w:rsidP="00BB2E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fba17b84-d621-4fec-a506-ecff32caa876"/>
      <w:bookmarkEnd w:id="3"/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ст. Нижнекундрюченская </w:t>
      </w:r>
      <w:bookmarkStart w:id="4" w:name="adccbb3b-7a22-43a7-9071-82e37d2d5692"/>
      <w:bookmarkEnd w:id="4"/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1906" w:h="16383"/>
          <w:pgMar w:top="1134" w:right="850" w:bottom="1134" w:left="1701" w:header="720" w:footer="720" w:gutter="0"/>
          <w:cols w:space="720"/>
        </w:sectPr>
      </w:pPr>
    </w:p>
    <w:p w:rsidR="00DE2DB0" w:rsidRPr="00D91865" w:rsidRDefault="00D7257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2221155"/>
      <w:bookmarkEnd w:id="1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</w:t>
      </w:r>
      <w:r w:rsidR="00753E07"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05"/>
      <w:bookmarkEnd w:id="6"/>
    </w:p>
    <w:p w:rsidR="00DE2DB0" w:rsidRPr="00D91865" w:rsidRDefault="00DE2DB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искусстве, в национальных образах предметно-материальной и пространственной среды, в понимании красоты человека.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1906" w:h="16383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2221152"/>
      <w:bookmarkEnd w:id="5"/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079007"/>
      <w:bookmarkEnd w:id="9"/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художественных промыслов: дымковская или </w:t>
      </w:r>
      <w:proofErr w:type="spellStart"/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каргопольская</w:t>
      </w:r>
      <w:proofErr w:type="spellEnd"/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игрушка (или по выбору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079008"/>
      <w:bookmarkEnd w:id="10"/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E2DB0" w:rsidRPr="00D91865" w:rsidRDefault="00753E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DE2DB0" w:rsidRPr="00D91865" w:rsidRDefault="00753E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E2DB0" w:rsidRPr="00D91865" w:rsidRDefault="00753E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В.В.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079009"/>
      <w:bookmarkEnd w:id="11"/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орнамента, в основе которого раппорт. Вариативное создание орнаментов на основе одного и того же элемента.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079010"/>
      <w:bookmarkEnd w:id="12"/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Солдата в Москве; памятник-ансамбль «Героям Сталинградской битвы» на Мамаевом кургане (и другие по выбору учителя).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1906" w:h="16383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2221149"/>
      <w:bookmarkEnd w:id="8"/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E2DB0" w:rsidRPr="00D91865" w:rsidRDefault="00DE2D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DB0" w:rsidRPr="00D91865" w:rsidRDefault="00DE2D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079013"/>
      <w:bookmarkEnd w:id="15"/>
    </w:p>
    <w:p w:rsidR="00DE2DB0" w:rsidRPr="00D91865" w:rsidRDefault="00DE2DB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E2DB0" w:rsidRPr="00D91865" w:rsidRDefault="00DE2D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DE2DB0" w:rsidRPr="00D91865" w:rsidRDefault="00DE2DB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E2DB0" w:rsidRPr="00D91865" w:rsidRDefault="00DE2DB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DE2DB0" w:rsidRPr="00D91865" w:rsidRDefault="00DE2DB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навыки работы красками «гуашь» в условиях урока.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E2DB0" w:rsidRPr="00D91865" w:rsidRDefault="00753E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E2DB0" w:rsidRPr="00D91865" w:rsidRDefault="00753E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E2DB0" w:rsidRPr="00D91865" w:rsidRDefault="00753E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D918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E2DB0" w:rsidRPr="00D91865" w:rsidRDefault="00753E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E2DB0" w:rsidRPr="00D91865" w:rsidRDefault="00753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E2DB0" w:rsidRPr="00D91865" w:rsidRDefault="00753E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DE2DB0" w:rsidRPr="00D91865" w:rsidRDefault="00753E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E2DB0" w:rsidRPr="00D91865" w:rsidRDefault="00753E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D91865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E2DB0" w:rsidRPr="00D91865" w:rsidRDefault="00753E0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8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1906" w:h="16383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62221150"/>
      <w:bookmarkEnd w:id="13"/>
      <w:r w:rsidRPr="00D918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E2DB0" w:rsidRPr="00D918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E2DB0" w:rsidRPr="00D918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6"/>
        <w:gridCol w:w="4304"/>
        <w:gridCol w:w="1626"/>
        <w:gridCol w:w="1841"/>
        <w:gridCol w:w="1910"/>
        <w:gridCol w:w="3063"/>
      </w:tblGrid>
      <w:tr w:rsidR="00DE2DB0" w:rsidRPr="00D918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411892"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411892"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411892"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411892"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411892"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411892</w:t>
            </w:r>
            <w:r w:rsidR="005D7FD8">
              <w:fldChar w:fldCharType="end"/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DB0" w:rsidRPr="00D91865" w:rsidRDefault="00753E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22"/>
        <w:gridCol w:w="1631"/>
        <w:gridCol w:w="1841"/>
        <w:gridCol w:w="1910"/>
        <w:gridCol w:w="3036"/>
      </w:tblGrid>
      <w:tr w:rsidR="00DE2DB0" w:rsidRPr="00D918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4129</w:instrText>
            </w:r>
            <w:r w:rsidR="005D7FD8">
              <w:instrText>ea</w:instrText>
            </w:r>
            <w:r w:rsidR="005D7FD8" w:rsidRPr="00F57248">
              <w:rPr>
                <w:lang w:val="ru-RU"/>
              </w:rPr>
              <w:instrText>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4129</w:instrText>
            </w:r>
            <w:r w:rsidR="005D7FD8">
              <w:instrText>ea</w:instrText>
            </w:r>
            <w:r w:rsidR="005D7FD8" w:rsidRPr="00F57248">
              <w:rPr>
                <w:lang w:val="ru-RU"/>
              </w:rPr>
              <w:instrText>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4129</w:instrText>
            </w:r>
            <w:r w:rsidR="005D7FD8">
              <w:instrText>ea</w:instrText>
            </w:r>
            <w:r w:rsidR="005D7FD8" w:rsidRPr="00F57248">
              <w:rPr>
                <w:lang w:val="ru-RU"/>
              </w:rPr>
              <w:instrText>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4129</w:instrText>
            </w:r>
            <w:r w:rsidR="005D7FD8">
              <w:instrText>ea</w:instrText>
            </w:r>
            <w:r w:rsidR="005D7FD8" w:rsidRPr="00F57248">
              <w:rPr>
                <w:lang w:val="ru-RU"/>
              </w:rPr>
              <w:instrText>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 w:rsidR="005D7FD8">
              <w:fldChar w:fldCharType="end"/>
            </w:r>
          </w:p>
        </w:tc>
      </w:tr>
      <w:tr w:rsidR="00DE2DB0" w:rsidRPr="00F572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5D7FD8">
              <w:fldChar w:fldCharType="begin"/>
            </w:r>
            <w:r w:rsidR="005D7FD8">
              <w:instrText>HYPERLINK</w:instrText>
            </w:r>
            <w:r w:rsidR="005D7FD8" w:rsidRPr="00F57248">
              <w:rPr>
                <w:lang w:val="ru-RU"/>
              </w:rPr>
              <w:instrText xml:space="preserve"> "</w:instrText>
            </w:r>
            <w:r w:rsidR="005D7FD8">
              <w:instrText>https</w:instrText>
            </w:r>
            <w:r w:rsidR="005D7FD8" w:rsidRPr="00F57248">
              <w:rPr>
                <w:lang w:val="ru-RU"/>
              </w:rPr>
              <w:instrText>://</w:instrText>
            </w:r>
            <w:r w:rsidR="005D7FD8">
              <w:instrText>m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edsoo</w:instrText>
            </w:r>
            <w:r w:rsidR="005D7FD8" w:rsidRPr="00F57248">
              <w:rPr>
                <w:lang w:val="ru-RU"/>
              </w:rPr>
              <w:instrText>.</w:instrText>
            </w:r>
            <w:r w:rsidR="005D7FD8">
              <w:instrText>ru</w:instrText>
            </w:r>
            <w:r w:rsidR="005D7FD8" w:rsidRPr="00F57248">
              <w:rPr>
                <w:lang w:val="ru-RU"/>
              </w:rPr>
              <w:instrText>/7</w:instrText>
            </w:r>
            <w:r w:rsidR="005D7FD8">
              <w:instrText>f</w:instrText>
            </w:r>
            <w:r w:rsidR="005D7FD8" w:rsidRPr="00F57248">
              <w:rPr>
                <w:lang w:val="ru-RU"/>
              </w:rPr>
              <w:instrText>4129</w:instrText>
            </w:r>
            <w:r w:rsidR="005D7FD8">
              <w:instrText>ea</w:instrText>
            </w:r>
            <w:r w:rsidR="005D7FD8" w:rsidRPr="00F57248">
              <w:rPr>
                <w:lang w:val="ru-RU"/>
              </w:rPr>
              <w:instrText>" \</w:instrText>
            </w:r>
            <w:r w:rsidR="005D7FD8">
              <w:instrText>h</w:instrText>
            </w:r>
            <w:r w:rsidR="005D7FD8">
              <w:fldChar w:fldCharType="separate"/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4129</w:t>
            </w:r>
            <w:r w:rsidRPr="00D918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 w:rsidR="005D7FD8">
              <w:fldChar w:fldCharType="end"/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1" w:name="block-62221153"/>
      <w:bookmarkEnd w:id="20"/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 w:rsidP="000C39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0C3908" w:rsidRPr="00D91865" w:rsidRDefault="000C3908" w:rsidP="000C39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54"/>
        <w:gridCol w:w="8544"/>
        <w:gridCol w:w="1842"/>
        <w:gridCol w:w="2127"/>
      </w:tblGrid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 (урок-игра)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 (урок-наблюдение)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)(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урок-сказка)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длинное – пропорции». (Превращения при изменении пропорций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)(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урок-сказка)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)(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урок-наблюдение)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(урок-игра)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а(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урок-игра)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а(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урок-путешествие)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наклейками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домиков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</w:tr>
      <w:tr w:rsidR="000C3908" w:rsidRPr="00D91865" w:rsidTr="000C3908">
        <w:trPr>
          <w:trHeight w:val="144"/>
        </w:trPr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</w:tr>
      <w:tr w:rsidR="000C3908" w:rsidRPr="00D91865" w:rsidTr="000C3908">
        <w:trPr>
          <w:trHeight w:val="144"/>
        </w:trPr>
        <w:tc>
          <w:tcPr>
            <w:tcW w:w="9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C3908" w:rsidRPr="00D91865" w:rsidRDefault="000C39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C3908" w:rsidRPr="00D91865" w:rsidRDefault="000C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 w:rsidP="00D331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1751C" w:rsidRDefault="00A1751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1751C" w:rsidRDefault="00A1751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1751C" w:rsidRPr="00D91865" w:rsidRDefault="00A1751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C3908" w:rsidRPr="00D91865" w:rsidRDefault="000C390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DE2DB0" w:rsidRPr="00D91865" w:rsidRDefault="00DE2D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DE2DB0" w:rsidRPr="00D9186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DB0" w:rsidRPr="00D91865" w:rsidRDefault="00DE2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пятен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</w:tr>
      <w:tr w:rsidR="00DE2DB0" w:rsidRPr="00D9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753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E2DB0" w:rsidRPr="00D91865" w:rsidRDefault="00DE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485900" w:rsidRPr="00D91865" w:rsidRDefault="00485900" w:rsidP="004859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85900" w:rsidRPr="00D91865" w:rsidRDefault="00485900" w:rsidP="004859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80"/>
        <w:gridCol w:w="9126"/>
        <w:gridCol w:w="2268"/>
        <w:gridCol w:w="2127"/>
      </w:tblGrid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900" w:rsidRPr="00D91865" w:rsidRDefault="00485900" w:rsidP="00F04E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900" w:rsidRPr="00D91865" w:rsidRDefault="00485900" w:rsidP="00F04E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900" w:rsidRPr="00D91865" w:rsidRDefault="00485900" w:rsidP="00F04E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изображения, постройка, украшения. Художественное восприятие окружающей действительности.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Игрушки создает художник. «Одушевление» неожиданных материалов.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бульвары. 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Художник-ландшафтный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архитектор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аппликация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плакат. Изображение и текст. Выразительные свойства плаката»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proofErr w:type="gram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выставка.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</w:tr>
      <w:tr w:rsidR="00485900" w:rsidRPr="00D91865" w:rsidTr="00F04EB0">
        <w:trPr>
          <w:trHeight w:val="144"/>
          <w:tblCellSpacing w:w="20" w:type="nil"/>
        </w:trPr>
        <w:tc>
          <w:tcPr>
            <w:tcW w:w="10206" w:type="dxa"/>
            <w:gridSpan w:val="2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0" w:line="259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85900" w:rsidRPr="00D91865" w:rsidRDefault="00485900" w:rsidP="00F04E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85900" w:rsidRPr="00D91865" w:rsidRDefault="00485900" w:rsidP="00485900">
      <w:pPr>
        <w:rPr>
          <w:rFonts w:ascii="Times New Roman" w:hAnsi="Times New Roman" w:cs="Times New Roman"/>
          <w:sz w:val="24"/>
          <w:szCs w:val="24"/>
        </w:rPr>
      </w:pPr>
    </w:p>
    <w:p w:rsidR="00DE2DB0" w:rsidRPr="00D91865" w:rsidRDefault="00DE2DB0" w:rsidP="001B747F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D70952" w:rsidRPr="00D91865" w:rsidRDefault="00D70952" w:rsidP="00D709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bookmarkStart w:id="22" w:name="_GoBack"/>
      <w:bookmarkEnd w:id="22"/>
      <w:r w:rsidRPr="00D91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137E37" w:rsidRPr="00D91865" w:rsidRDefault="00137E37" w:rsidP="00D709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37E37" w:rsidRPr="00D91865" w:rsidRDefault="00137E37" w:rsidP="00137E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20" w:type="nil"/>
        <w:tblInd w:w="-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5076"/>
        <w:gridCol w:w="1586"/>
        <w:gridCol w:w="2551"/>
      </w:tblGrid>
      <w:tr w:rsidR="00137E37" w:rsidRPr="00D91865" w:rsidTr="00A1751C">
        <w:trPr>
          <w:trHeight w:val="9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9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человека в природе гор и степей. Красота пейзажа с традиционными постройками. Сюжетная композиция живописными или граф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</w:tr>
      <w:tr w:rsidR="00137E37" w:rsidRPr="00D91865" w:rsidTr="00A1751C">
        <w:trPr>
          <w:trHeight w:val="144"/>
          <w:tblCellSpacing w:w="20" w:type="nil"/>
          <w:jc w:val="center"/>
        </w:trPr>
        <w:tc>
          <w:tcPr>
            <w:tcW w:w="6069" w:type="dxa"/>
            <w:gridSpan w:val="2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7E37" w:rsidRPr="00D91865" w:rsidRDefault="00137E37" w:rsidP="0052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DB0" w:rsidRPr="00D91865" w:rsidRDefault="00DE2DB0">
      <w:pPr>
        <w:rPr>
          <w:rFonts w:ascii="Times New Roman" w:hAnsi="Times New Roman" w:cs="Times New Roman"/>
          <w:sz w:val="24"/>
          <w:szCs w:val="24"/>
          <w:lang w:val="ru-RU"/>
        </w:rPr>
        <w:sectPr w:rsidR="00DE2DB0" w:rsidRPr="00D91865">
          <w:pgSz w:w="11906" w:h="16383"/>
          <w:pgMar w:top="1134" w:right="850" w:bottom="1134" w:left="1701" w:header="720" w:footer="720" w:gutter="0"/>
          <w:cols w:space="720"/>
        </w:sectPr>
      </w:pPr>
      <w:bookmarkStart w:id="23" w:name="block-62221154"/>
      <w:bookmarkEnd w:id="21"/>
    </w:p>
    <w:bookmarkEnd w:id="23"/>
    <w:p w:rsidR="00753E07" w:rsidRPr="00D91865" w:rsidRDefault="00753E0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3E07" w:rsidRPr="00D91865" w:rsidSect="00DE2D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E2DB0"/>
    <w:rsid w:val="000C3908"/>
    <w:rsid w:val="00137E37"/>
    <w:rsid w:val="001B747F"/>
    <w:rsid w:val="00485900"/>
    <w:rsid w:val="005D7FD8"/>
    <w:rsid w:val="00720C77"/>
    <w:rsid w:val="00753E07"/>
    <w:rsid w:val="009D15ED"/>
    <w:rsid w:val="00A1751C"/>
    <w:rsid w:val="00AD6496"/>
    <w:rsid w:val="00BB2EAE"/>
    <w:rsid w:val="00D331C3"/>
    <w:rsid w:val="00D70952"/>
    <w:rsid w:val="00D72576"/>
    <w:rsid w:val="00D91865"/>
    <w:rsid w:val="00DE2DB0"/>
    <w:rsid w:val="00F5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2D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11907</Words>
  <Characters>67874</Characters>
  <Application>Microsoft Office Word</Application>
  <DocSecurity>0</DocSecurity>
  <Lines>565</Lines>
  <Paragraphs>159</Paragraphs>
  <ScaleCrop>false</ScaleCrop>
  <Company/>
  <LinksUpToDate>false</LinksUpToDate>
  <CharactersWithSpaces>79622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НКСОШ</cp:lastModifiedBy>
  <cp:revision>18</cp:revision>
  <dcterms:created xsi:type="dcterms:W3CDTF">2025-09-02T17:24:00Z</dcterms:created>
  <dcterms:modified xsi:type="dcterms:W3CDTF">2025-09-22T07:18:00Z</dcterms:modified>
</cp:coreProperties>
</file>